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16BE4" w14:textId="77777777" w:rsidR="00A61B7D" w:rsidRDefault="00000000" w:rsidP="00867D32">
      <w:pPr>
        <w:pStyle w:val="Title"/>
        <w:spacing w:after="120"/>
        <w:jc w:val="center"/>
      </w:pPr>
      <w:r>
        <w:t>The Reading Process: What Works, and Why</w:t>
      </w:r>
    </w:p>
    <w:p w14:paraId="2534DD60" w14:textId="77777777" w:rsidR="00A61B7D" w:rsidRPr="00867D32" w:rsidRDefault="00000000" w:rsidP="00867D32">
      <w:pPr>
        <w:spacing w:after="260"/>
        <w:jc w:val="center"/>
        <w:rPr>
          <w:sz w:val="28"/>
          <w:szCs w:val="28"/>
        </w:rPr>
      </w:pPr>
      <w:r w:rsidRPr="00867D32">
        <w:rPr>
          <w:i/>
          <w:iCs/>
          <w:color w:val="595959"/>
          <w:sz w:val="28"/>
          <w:szCs w:val="28"/>
        </w:rPr>
        <w:t>Practical strategies grounded in how reading actually develops.</w:t>
      </w:r>
    </w:p>
    <w:p w14:paraId="781D73A7" w14:textId="77777777" w:rsidR="00A61B7D" w:rsidRPr="00867D32" w:rsidRDefault="00000000">
      <w:pPr>
        <w:spacing w:after="180"/>
        <w:rPr>
          <w:sz w:val="24"/>
          <w:szCs w:val="24"/>
        </w:rPr>
      </w:pPr>
      <w:r w:rsidRPr="00867D32">
        <w:rPr>
          <w:sz w:val="24"/>
          <w:szCs w:val="24"/>
        </w:rPr>
        <w:t xml:space="preserve">Reading instruction works best when it rests on two things at once: a real understanding of what reading does for a developing mind, and a concrete set of classroom practices that put that understanding into action. The sections below bring both together — first the research on why reading matters as much as it does, then a practical framework for teaching it, and finally a working list of the comprehension strategies worth modeling for </w:t>
      </w:r>
      <w:proofErr w:type="gramStart"/>
      <w:r w:rsidRPr="00867D32">
        <w:rPr>
          <w:sz w:val="24"/>
          <w:szCs w:val="24"/>
        </w:rPr>
        <w:t>students</w:t>
      </w:r>
      <w:proofErr w:type="gramEnd"/>
      <w:r w:rsidRPr="00867D32">
        <w:rPr>
          <w:sz w:val="24"/>
          <w:szCs w:val="24"/>
        </w:rPr>
        <w:t xml:space="preserve"> day to day.</w:t>
      </w:r>
    </w:p>
    <w:p w14:paraId="1CEACE53" w14:textId="77777777" w:rsidR="00A61B7D" w:rsidRPr="00867D32" w:rsidRDefault="00000000">
      <w:pPr>
        <w:pStyle w:val="Heading1"/>
        <w:spacing w:before="260" w:after="120"/>
        <w:rPr>
          <w:sz w:val="28"/>
          <w:szCs w:val="28"/>
        </w:rPr>
      </w:pPr>
      <w:r w:rsidRPr="00867D32">
        <w:rPr>
          <w:sz w:val="28"/>
          <w:szCs w:val="28"/>
        </w:rPr>
        <w:t>What Reading Does for the Mind</w:t>
      </w:r>
    </w:p>
    <w:p w14:paraId="76F9F4FB" w14:textId="05201959" w:rsidR="00A61B7D" w:rsidRPr="00867D32" w:rsidRDefault="00000000">
      <w:pPr>
        <w:spacing w:after="180"/>
        <w:rPr>
          <w:sz w:val="24"/>
          <w:szCs w:val="24"/>
        </w:rPr>
      </w:pPr>
      <w:r w:rsidRPr="00867D32">
        <w:rPr>
          <w:sz w:val="24"/>
          <w:szCs w:val="24"/>
        </w:rPr>
        <w:t xml:space="preserve">Reading </w:t>
      </w:r>
      <w:r w:rsidR="00867D32" w:rsidRPr="00867D32">
        <w:rPr>
          <w:sz w:val="24"/>
          <w:szCs w:val="24"/>
        </w:rPr>
        <w:t>isn’t</w:t>
      </w:r>
      <w:r w:rsidRPr="00867D32">
        <w:rPr>
          <w:sz w:val="24"/>
          <w:szCs w:val="24"/>
        </w:rPr>
        <w:t xml:space="preserve"> just a task that ends the moment a student finishes extracting meaning from a page. Its effects build on themselves over time, compounding in ways that reach far beyond any single passage or assignment. The educational researchers Anne Cunningham and Keith Stanovich, in their influential 1998 article </w:t>
      </w:r>
      <w:r w:rsidR="00867D32" w:rsidRPr="00867D32">
        <w:rPr>
          <w:sz w:val="24"/>
          <w:szCs w:val="24"/>
        </w:rPr>
        <w:t>“</w:t>
      </w:r>
      <w:r w:rsidRPr="00867D32">
        <w:rPr>
          <w:sz w:val="24"/>
          <w:szCs w:val="24"/>
        </w:rPr>
        <w:t>What Reading Does for the Mind,</w:t>
      </w:r>
      <w:r w:rsidR="00867D32" w:rsidRPr="00867D32">
        <w:rPr>
          <w:sz w:val="24"/>
          <w:szCs w:val="24"/>
        </w:rPr>
        <w:t>”</w:t>
      </w:r>
      <w:r w:rsidRPr="00867D32">
        <w:rPr>
          <w:sz w:val="24"/>
          <w:szCs w:val="24"/>
        </w:rPr>
        <w:t xml:space="preserve"> described this as a spiral: small early differences in reading ability </w:t>
      </w:r>
      <w:r w:rsidR="00867D32" w:rsidRPr="00867D32">
        <w:rPr>
          <w:sz w:val="24"/>
          <w:szCs w:val="24"/>
        </w:rPr>
        <w:t>don’t</w:t>
      </w:r>
      <w:r w:rsidRPr="00867D32">
        <w:rPr>
          <w:sz w:val="24"/>
          <w:szCs w:val="24"/>
        </w:rPr>
        <w:t xml:space="preserve"> stay small</w:t>
      </w:r>
      <w:r w:rsidR="00867D32" w:rsidRPr="00867D32">
        <w:rPr>
          <w:sz w:val="24"/>
          <w:szCs w:val="24"/>
        </w:rPr>
        <w:t>—</w:t>
      </w:r>
      <w:r w:rsidRPr="00867D32">
        <w:rPr>
          <w:sz w:val="24"/>
          <w:szCs w:val="24"/>
        </w:rPr>
        <w:t xml:space="preserve">they accumulate, year over year, into much larger differences in a </w:t>
      </w:r>
      <w:r w:rsidR="00867D32" w:rsidRPr="00867D32">
        <w:rPr>
          <w:sz w:val="24"/>
          <w:szCs w:val="24"/>
        </w:rPr>
        <w:t>student’s</w:t>
      </w:r>
      <w:r w:rsidRPr="00867D32">
        <w:rPr>
          <w:sz w:val="24"/>
          <w:szCs w:val="24"/>
        </w:rPr>
        <w:t xml:space="preserve"> broader cognitive development.</w:t>
      </w:r>
    </w:p>
    <w:p w14:paraId="6E382F2D" w14:textId="7EF78872" w:rsidR="00A61B7D" w:rsidRPr="00867D32" w:rsidRDefault="00000000">
      <w:pPr>
        <w:spacing w:after="180"/>
        <w:rPr>
          <w:sz w:val="24"/>
          <w:szCs w:val="24"/>
        </w:rPr>
      </w:pPr>
      <w:r w:rsidRPr="00867D32">
        <w:rPr>
          <w:sz w:val="24"/>
          <w:szCs w:val="24"/>
        </w:rPr>
        <w:t xml:space="preserve">Stanovich had earlier given this pattern a name borrowed from a biblical parable about wealth compounding for those who already have it and shrinking for those who </w:t>
      </w:r>
      <w:r w:rsidR="00867D32" w:rsidRPr="00867D32">
        <w:rPr>
          <w:sz w:val="24"/>
          <w:szCs w:val="24"/>
        </w:rPr>
        <w:t>don’t</w:t>
      </w:r>
      <w:r w:rsidRPr="00867D32">
        <w:rPr>
          <w:sz w:val="24"/>
          <w:szCs w:val="24"/>
        </w:rPr>
        <w:t xml:space="preserve">: the </w:t>
      </w:r>
      <w:r w:rsidR="00867D32" w:rsidRPr="00867D32">
        <w:rPr>
          <w:sz w:val="24"/>
          <w:szCs w:val="24"/>
        </w:rPr>
        <w:t>“</w:t>
      </w:r>
      <w:r w:rsidRPr="00867D32">
        <w:rPr>
          <w:sz w:val="24"/>
          <w:szCs w:val="24"/>
        </w:rPr>
        <w:t>Matthew effect.</w:t>
      </w:r>
      <w:r w:rsidR="00867D32" w:rsidRPr="00867D32">
        <w:rPr>
          <w:sz w:val="24"/>
          <w:szCs w:val="24"/>
        </w:rPr>
        <w:t>”</w:t>
      </w:r>
      <w:r w:rsidRPr="00867D32">
        <w:rPr>
          <w:sz w:val="24"/>
          <w:szCs w:val="24"/>
        </w:rPr>
        <w:t xml:space="preserve"> Applied to reading, it works like this. Early on, a struggling reader has more trouble breaking the code between spelling and sound, so that student reads less text than a more skilled peer — simply because decoding is slower and more effortful. That same struggling reader is also more likely to be handed material </w:t>
      </w:r>
      <w:r w:rsidR="00867D32" w:rsidRPr="00867D32">
        <w:rPr>
          <w:sz w:val="24"/>
          <w:szCs w:val="24"/>
        </w:rPr>
        <w:t>that’s</w:t>
      </w:r>
      <w:r w:rsidRPr="00867D32">
        <w:rPr>
          <w:sz w:val="24"/>
          <w:szCs w:val="24"/>
        </w:rPr>
        <w:t xml:space="preserve"> too difficult, which compounds the problem further. Less practice, harder material, and weaker decoding skills combine to make early reading unrewarding, which in turn makes the student less likely to choose reading voluntarily. The gap that started small early on </w:t>
      </w:r>
      <w:r w:rsidR="00867D32" w:rsidRPr="00867D32">
        <w:rPr>
          <w:sz w:val="24"/>
          <w:szCs w:val="24"/>
        </w:rPr>
        <w:t>doesn’t</w:t>
      </w:r>
      <w:r w:rsidRPr="00867D32">
        <w:rPr>
          <w:sz w:val="24"/>
          <w:szCs w:val="24"/>
        </w:rPr>
        <w:t xml:space="preserve"> stay contained — it widens every year it goes unaddressed.</w:t>
      </w:r>
    </w:p>
    <w:p w14:paraId="7C76C40F" w14:textId="77777777" w:rsidR="00A61B7D" w:rsidRPr="00867D32" w:rsidRDefault="00000000">
      <w:pPr>
        <w:spacing w:after="180"/>
        <w:rPr>
          <w:sz w:val="24"/>
          <w:szCs w:val="24"/>
        </w:rPr>
      </w:pPr>
      <w:r w:rsidRPr="00867D32">
        <w:rPr>
          <w:sz w:val="24"/>
          <w:szCs w:val="24"/>
        </w:rPr>
        <w:t>The practical implication is straightforward, even if the pattern itself is stubborn: the earlier a struggling reader gets the right support, the less compounding damage there is to undo. Waiting rarely helps.</w:t>
      </w:r>
    </w:p>
    <w:p w14:paraId="734C773F" w14:textId="77777777" w:rsidR="00A61B7D" w:rsidRPr="00867D32" w:rsidRDefault="00000000">
      <w:pPr>
        <w:pStyle w:val="Heading1"/>
        <w:spacing w:before="260" w:after="120"/>
        <w:rPr>
          <w:sz w:val="28"/>
          <w:szCs w:val="28"/>
        </w:rPr>
      </w:pPr>
      <w:r w:rsidRPr="00867D32">
        <w:rPr>
          <w:sz w:val="28"/>
          <w:szCs w:val="28"/>
        </w:rPr>
        <w:t>The Role of Prior Knowledge</w:t>
      </w:r>
    </w:p>
    <w:p w14:paraId="57879935" w14:textId="19AAB8FF" w:rsidR="00A61B7D" w:rsidRPr="00867D32" w:rsidRDefault="00000000">
      <w:pPr>
        <w:spacing w:after="180"/>
        <w:rPr>
          <w:sz w:val="24"/>
          <w:szCs w:val="24"/>
        </w:rPr>
      </w:pPr>
      <w:r w:rsidRPr="00867D32">
        <w:rPr>
          <w:sz w:val="24"/>
          <w:szCs w:val="24"/>
        </w:rPr>
        <w:t xml:space="preserve">Comprehension </w:t>
      </w:r>
      <w:r w:rsidR="00867D32" w:rsidRPr="00867D32">
        <w:rPr>
          <w:sz w:val="24"/>
          <w:szCs w:val="24"/>
        </w:rPr>
        <w:t>doesn’t</w:t>
      </w:r>
      <w:r w:rsidRPr="00867D32">
        <w:rPr>
          <w:sz w:val="24"/>
          <w:szCs w:val="24"/>
        </w:rPr>
        <w:t xml:space="preserve"> happen in a vacuum. A reader who already knows something about a topic has a framework to slot new information into</w:t>
      </w:r>
      <w:r w:rsidR="00867D32" w:rsidRPr="00867D32">
        <w:rPr>
          <w:sz w:val="24"/>
          <w:szCs w:val="24"/>
        </w:rPr>
        <w:t>—</w:t>
      </w:r>
      <w:r w:rsidRPr="00867D32">
        <w:rPr>
          <w:sz w:val="24"/>
          <w:szCs w:val="24"/>
        </w:rPr>
        <w:t>something to attach it to, so it sticks rather than sliding past. Readers with well-developed, accurate background knowledge consistently understand and remember more of what they read than readers encountering the same material cold, even when the two groups have comparable raw reading skill.</w:t>
      </w:r>
    </w:p>
    <w:p w14:paraId="080D60B2" w14:textId="621C78A3" w:rsidR="00A61B7D" w:rsidRPr="00867D32" w:rsidRDefault="00000000">
      <w:pPr>
        <w:spacing w:after="180"/>
        <w:rPr>
          <w:sz w:val="24"/>
          <w:szCs w:val="24"/>
        </w:rPr>
      </w:pPr>
      <w:r w:rsidRPr="00867D32">
        <w:rPr>
          <w:sz w:val="24"/>
          <w:szCs w:val="24"/>
        </w:rPr>
        <w:t>This is part of why the common classroom habit of teaching vocabulary through glossary definitions tends to fall flat. Looking a word up, copying its dictionary definition, and memorizing it strips that word from the very context that would have made it meaningful. Students see no real reason to retain a word learned that way</w:t>
      </w:r>
      <w:r w:rsidR="00867D32" w:rsidRPr="00867D32">
        <w:rPr>
          <w:sz w:val="24"/>
          <w:szCs w:val="24"/>
        </w:rPr>
        <w:t>. Because</w:t>
      </w:r>
      <w:r w:rsidRPr="00867D32">
        <w:rPr>
          <w:sz w:val="24"/>
          <w:szCs w:val="24"/>
        </w:rPr>
        <w:t xml:space="preserve"> the definition arrives </w:t>
      </w:r>
      <w:r w:rsidRPr="00867D32">
        <w:rPr>
          <w:sz w:val="24"/>
          <w:szCs w:val="24"/>
        </w:rPr>
        <w:lastRenderedPageBreak/>
        <w:t>disconnected from the subject matter, students often walk away with only a surface understanding of what the word actually means</w:t>
      </w:r>
      <w:r w:rsidR="00867D32" w:rsidRPr="00867D32">
        <w:rPr>
          <w:sz w:val="24"/>
          <w:szCs w:val="24"/>
        </w:rPr>
        <w:t>—</w:t>
      </w:r>
      <w:r w:rsidRPr="00867D32">
        <w:rPr>
          <w:sz w:val="24"/>
          <w:szCs w:val="24"/>
        </w:rPr>
        <w:t xml:space="preserve">enough to satisfy the assignment, not enough to use the word with real command. Vocabulary sticks best when </w:t>
      </w:r>
      <w:r w:rsidR="00867D32" w:rsidRPr="00867D32">
        <w:rPr>
          <w:sz w:val="24"/>
          <w:szCs w:val="24"/>
        </w:rPr>
        <w:t>it’s</w:t>
      </w:r>
      <w:r w:rsidRPr="00867D32">
        <w:rPr>
          <w:sz w:val="24"/>
          <w:szCs w:val="24"/>
        </w:rPr>
        <w:t xml:space="preserve"> encountered doing real work inside a text a student actually cares about, not extracted and studied in isolation.</w:t>
      </w:r>
    </w:p>
    <w:p w14:paraId="0443495C" w14:textId="77777777" w:rsidR="00A61B7D" w:rsidRPr="00867D32" w:rsidRDefault="00000000">
      <w:pPr>
        <w:pStyle w:val="Heading1"/>
        <w:spacing w:before="260" w:after="120"/>
        <w:rPr>
          <w:sz w:val="28"/>
          <w:szCs w:val="28"/>
        </w:rPr>
      </w:pPr>
      <w:r w:rsidRPr="00867D32">
        <w:rPr>
          <w:sz w:val="28"/>
          <w:szCs w:val="28"/>
        </w:rPr>
        <w:t>A Framework for Teaching Reading</w:t>
      </w:r>
    </w:p>
    <w:p w14:paraId="246206D8" w14:textId="63F837DD" w:rsidR="00A61B7D" w:rsidRPr="00867D32" w:rsidRDefault="00000000">
      <w:pPr>
        <w:spacing w:after="180"/>
        <w:rPr>
          <w:sz w:val="24"/>
          <w:szCs w:val="24"/>
        </w:rPr>
      </w:pPr>
      <w:r w:rsidRPr="00867D32">
        <w:rPr>
          <w:sz w:val="24"/>
          <w:szCs w:val="24"/>
        </w:rPr>
        <w:t xml:space="preserve">The framework below draws on the Ohio State </w:t>
      </w:r>
      <w:r w:rsidR="00867D32" w:rsidRPr="00867D32">
        <w:rPr>
          <w:sz w:val="24"/>
          <w:szCs w:val="24"/>
        </w:rPr>
        <w:t>University’s</w:t>
      </w:r>
      <w:r w:rsidRPr="00867D32">
        <w:rPr>
          <w:sz w:val="24"/>
          <w:szCs w:val="24"/>
        </w:rPr>
        <w:t xml:space="preserve"> Early Literacy Learning Initiative, which organizes reading and writing instruction into a small set of recurring classroom components. It </w:t>
      </w:r>
      <w:r w:rsidR="00867D32" w:rsidRPr="00867D32">
        <w:rPr>
          <w:sz w:val="24"/>
          <w:szCs w:val="24"/>
        </w:rPr>
        <w:t>isn’t</w:t>
      </w:r>
      <w:r w:rsidRPr="00867D32">
        <w:rPr>
          <w:sz w:val="24"/>
          <w:szCs w:val="24"/>
        </w:rPr>
        <w:t xml:space="preserve"> a single set of tests or drills — </w:t>
      </w:r>
      <w:r w:rsidR="00867D32" w:rsidRPr="00867D32">
        <w:rPr>
          <w:sz w:val="24"/>
          <w:szCs w:val="24"/>
        </w:rPr>
        <w:t>it’s</w:t>
      </w:r>
      <w:r w:rsidRPr="00867D32">
        <w:rPr>
          <w:sz w:val="24"/>
          <w:szCs w:val="24"/>
        </w:rPr>
        <w:t xml:space="preserve"> an organizational structure, flexible enough for a classroom teacher or reading specialist to build a full range of literacy experiences around.</w:t>
      </w:r>
    </w:p>
    <w:p w14:paraId="5FAD5DB0" w14:textId="77777777" w:rsidR="00A61B7D" w:rsidRPr="00867D32" w:rsidRDefault="00000000">
      <w:pPr>
        <w:pStyle w:val="Heading2"/>
        <w:spacing w:before="200" w:after="100"/>
        <w:rPr>
          <w:sz w:val="28"/>
          <w:szCs w:val="28"/>
        </w:rPr>
      </w:pPr>
      <w:r w:rsidRPr="00867D32">
        <w:rPr>
          <w:sz w:val="28"/>
          <w:szCs w:val="28"/>
        </w:rPr>
        <w:t>Reading Aloud</w:t>
      </w:r>
    </w:p>
    <w:p w14:paraId="18F0253F" w14:textId="79F824F4" w:rsidR="00A61B7D" w:rsidRPr="00867D32" w:rsidRDefault="00000000">
      <w:pPr>
        <w:spacing w:after="180"/>
        <w:rPr>
          <w:sz w:val="24"/>
          <w:szCs w:val="24"/>
        </w:rPr>
      </w:pPr>
      <w:r w:rsidRPr="00867D32">
        <w:rPr>
          <w:sz w:val="24"/>
          <w:szCs w:val="24"/>
        </w:rPr>
        <w:t>A teacher reads to the whole class or a small group from a deliberately varied collection of literature, revisiting favorite texts more than once. Done well, this gives students an adult model of fluent, phrased reading; builds their sense of story and how written language is structured; grows vocabulary and oral language; and — perhaps most — builds a shared community of readers around books everyone has heard.</w:t>
      </w:r>
    </w:p>
    <w:p w14:paraId="4FD1A279" w14:textId="77777777" w:rsidR="00A61B7D" w:rsidRPr="00867D32" w:rsidRDefault="00000000">
      <w:pPr>
        <w:pStyle w:val="Heading2"/>
        <w:spacing w:before="200" w:after="100"/>
        <w:rPr>
          <w:sz w:val="28"/>
          <w:szCs w:val="28"/>
        </w:rPr>
      </w:pPr>
      <w:r w:rsidRPr="00867D32">
        <w:rPr>
          <w:sz w:val="28"/>
          <w:szCs w:val="28"/>
        </w:rPr>
        <w:t>Guided Reading</w:t>
      </w:r>
    </w:p>
    <w:p w14:paraId="3852EBD3" w14:textId="5E0E1866" w:rsidR="00A61B7D" w:rsidRPr="00867D32" w:rsidRDefault="00000000">
      <w:pPr>
        <w:spacing w:after="180"/>
        <w:rPr>
          <w:sz w:val="24"/>
          <w:szCs w:val="24"/>
        </w:rPr>
      </w:pPr>
      <w:r w:rsidRPr="00867D32">
        <w:rPr>
          <w:sz w:val="24"/>
          <w:szCs w:val="24"/>
        </w:rPr>
        <w:t xml:space="preserve">Here the teacher works with a small group of students who read in similar ways, choosing and introducing new texts and coaching students as they read the whole text themselves. It gives students exposure to a wide range of texts, real practice solving problems while reading for meaning, and just enough challenge — supported by the </w:t>
      </w:r>
      <w:r w:rsidR="00867D32" w:rsidRPr="00867D32">
        <w:rPr>
          <w:sz w:val="24"/>
          <w:szCs w:val="24"/>
        </w:rPr>
        <w:t>teacher’s</w:t>
      </w:r>
      <w:r w:rsidRPr="00867D32">
        <w:rPr>
          <w:sz w:val="24"/>
          <w:szCs w:val="24"/>
        </w:rPr>
        <w:t xml:space="preserve"> guidance — to keep growing as a reader.</w:t>
      </w:r>
    </w:p>
    <w:p w14:paraId="602DDEC2" w14:textId="77777777" w:rsidR="00A61B7D" w:rsidRPr="00867D32" w:rsidRDefault="00000000">
      <w:pPr>
        <w:pStyle w:val="Heading2"/>
        <w:spacing w:before="200" w:after="100"/>
        <w:rPr>
          <w:sz w:val="28"/>
          <w:szCs w:val="28"/>
        </w:rPr>
      </w:pPr>
      <w:r w:rsidRPr="00867D32">
        <w:rPr>
          <w:sz w:val="28"/>
          <w:szCs w:val="28"/>
        </w:rPr>
        <w:t>Independent Reading</w:t>
      </w:r>
    </w:p>
    <w:p w14:paraId="5AC7A1E6" w14:textId="1321E6AD" w:rsidR="00A61B7D" w:rsidRPr="00867D32" w:rsidRDefault="00000000">
      <w:pPr>
        <w:spacing w:after="180"/>
        <w:rPr>
          <w:sz w:val="24"/>
          <w:szCs w:val="24"/>
        </w:rPr>
      </w:pPr>
      <w:r w:rsidRPr="00867D32">
        <w:rPr>
          <w:sz w:val="24"/>
          <w:szCs w:val="24"/>
        </w:rPr>
        <w:t xml:space="preserve">Students read on their own or with a partner, often from a collection matched to their own reading level. This is where strategies get applied without a teacher standing over the process — where reading behavior gets sustained, fluency gets built through sheer practice, and confidence grows from successfully getting through a book on </w:t>
      </w:r>
      <w:r w:rsidR="00867D32" w:rsidRPr="00867D32">
        <w:rPr>
          <w:sz w:val="24"/>
          <w:szCs w:val="24"/>
        </w:rPr>
        <w:t>one’s</w:t>
      </w:r>
      <w:r w:rsidRPr="00867D32">
        <w:rPr>
          <w:sz w:val="24"/>
          <w:szCs w:val="24"/>
        </w:rPr>
        <w:t xml:space="preserve"> own.</w:t>
      </w:r>
    </w:p>
    <w:p w14:paraId="379AE433" w14:textId="77777777" w:rsidR="00A61B7D" w:rsidRPr="00867D32" w:rsidRDefault="00000000">
      <w:pPr>
        <w:pStyle w:val="Heading2"/>
        <w:spacing w:before="200" w:after="100"/>
        <w:rPr>
          <w:sz w:val="28"/>
          <w:szCs w:val="28"/>
        </w:rPr>
      </w:pPr>
      <w:r w:rsidRPr="00867D32">
        <w:rPr>
          <w:sz w:val="28"/>
          <w:szCs w:val="28"/>
        </w:rPr>
        <w:t>Shared and Interactive Writing</w:t>
      </w:r>
    </w:p>
    <w:p w14:paraId="4C3144BB" w14:textId="77777777" w:rsidR="00A61B7D" w:rsidRPr="00867D32" w:rsidRDefault="00000000">
      <w:pPr>
        <w:spacing w:after="180"/>
        <w:rPr>
          <w:sz w:val="24"/>
          <w:szCs w:val="24"/>
        </w:rPr>
      </w:pPr>
      <w:r w:rsidRPr="00867D32">
        <w:rPr>
          <w:sz w:val="24"/>
          <w:szCs w:val="24"/>
        </w:rPr>
        <w:t>Teacher and students compose messages and stories together, with the teacher acting as scribe in shared writing, or handing over the pen at points in interactive writing so children take part directly. Both approaches make the mechanics of writing visible — how letters, words, and sounds work — while building spelling knowledge and creating texts simple enough for children to read back independently.</w:t>
      </w:r>
    </w:p>
    <w:p w14:paraId="1926895C" w14:textId="77777777" w:rsidR="00A61B7D" w:rsidRPr="00867D32" w:rsidRDefault="00000000">
      <w:pPr>
        <w:pStyle w:val="Heading2"/>
        <w:spacing w:before="200" w:after="100"/>
        <w:rPr>
          <w:sz w:val="28"/>
          <w:szCs w:val="28"/>
        </w:rPr>
      </w:pPr>
      <w:r w:rsidRPr="00867D32">
        <w:rPr>
          <w:sz w:val="28"/>
          <w:szCs w:val="28"/>
        </w:rPr>
        <w:t>Writing Workshop and Independent Writing</w:t>
      </w:r>
    </w:p>
    <w:p w14:paraId="76705693" w14:textId="19867B4E" w:rsidR="00A61B7D" w:rsidRPr="00867D32" w:rsidRDefault="00000000">
      <w:pPr>
        <w:spacing w:after="180"/>
        <w:rPr>
          <w:sz w:val="24"/>
          <w:szCs w:val="24"/>
        </w:rPr>
      </w:pPr>
      <w:r w:rsidRPr="00867D32">
        <w:rPr>
          <w:sz w:val="24"/>
          <w:szCs w:val="24"/>
        </w:rPr>
        <w:t xml:space="preserve">Students write their own pieces — stories, informational writing, retellings — with the teacher providing instruction through short mini-lessons and individual conferences rather than whole-group lecture. This is where a </w:t>
      </w:r>
      <w:r w:rsidR="00867D32" w:rsidRPr="00867D32">
        <w:rPr>
          <w:sz w:val="24"/>
          <w:szCs w:val="24"/>
        </w:rPr>
        <w:t>student’s</w:t>
      </w:r>
      <w:r w:rsidRPr="00867D32">
        <w:rPr>
          <w:sz w:val="24"/>
          <w:szCs w:val="24"/>
        </w:rPr>
        <w:t xml:space="preserve"> own voice as a writer starts to take shape, alongside the more mechanical skills of spelling and punctuation.</w:t>
      </w:r>
    </w:p>
    <w:p w14:paraId="4EB64288" w14:textId="77777777" w:rsidR="00A61B7D" w:rsidRPr="00867D32" w:rsidRDefault="00000000">
      <w:pPr>
        <w:pStyle w:val="Heading2"/>
        <w:spacing w:before="200" w:after="100"/>
        <w:rPr>
          <w:sz w:val="28"/>
          <w:szCs w:val="28"/>
        </w:rPr>
      </w:pPr>
      <w:r w:rsidRPr="00867D32">
        <w:rPr>
          <w:sz w:val="28"/>
          <w:szCs w:val="28"/>
        </w:rPr>
        <w:lastRenderedPageBreak/>
        <w:t>Attention to Letters and Words</w:t>
      </w:r>
    </w:p>
    <w:p w14:paraId="4123426F" w14:textId="00CDA79C" w:rsidR="00A61B7D" w:rsidRPr="00867D32" w:rsidRDefault="00000000">
      <w:pPr>
        <w:spacing w:after="180"/>
        <w:rPr>
          <w:sz w:val="24"/>
          <w:szCs w:val="24"/>
        </w:rPr>
      </w:pPr>
      <w:r w:rsidRPr="00867D32">
        <w:rPr>
          <w:sz w:val="24"/>
          <w:szCs w:val="24"/>
        </w:rPr>
        <w:t>Across all of the above, teachers look for natural openings to draw attention to how letters and words actually work</w:t>
      </w:r>
      <w:r w:rsidR="00867D32" w:rsidRPr="00867D32">
        <w:rPr>
          <w:sz w:val="24"/>
          <w:szCs w:val="24"/>
        </w:rPr>
        <w:t>—</w:t>
      </w:r>
      <w:r w:rsidRPr="00867D32">
        <w:rPr>
          <w:sz w:val="24"/>
          <w:szCs w:val="24"/>
        </w:rPr>
        <w:t>reinforced by classroom tools like word walls and alphabet centers, so the noticing that happens during a lesson has somewhere to live afterward.</w:t>
      </w:r>
    </w:p>
    <w:p w14:paraId="00B86CCD" w14:textId="77777777" w:rsidR="00A61B7D" w:rsidRPr="00867D32" w:rsidRDefault="00000000">
      <w:pPr>
        <w:pStyle w:val="Heading2"/>
        <w:spacing w:before="200" w:after="100"/>
        <w:rPr>
          <w:sz w:val="28"/>
          <w:szCs w:val="28"/>
        </w:rPr>
      </w:pPr>
      <w:r w:rsidRPr="00867D32">
        <w:rPr>
          <w:sz w:val="28"/>
          <w:szCs w:val="28"/>
        </w:rPr>
        <w:t>What This Looks Like Day to Day</w:t>
      </w:r>
    </w:p>
    <w:p w14:paraId="3E32AB19" w14:textId="7524F638" w:rsidR="00A61B7D" w:rsidRPr="00867D32" w:rsidRDefault="00000000">
      <w:pPr>
        <w:spacing w:after="180"/>
        <w:rPr>
          <w:sz w:val="24"/>
          <w:szCs w:val="24"/>
        </w:rPr>
      </w:pPr>
      <w:r w:rsidRPr="00867D32">
        <w:rPr>
          <w:sz w:val="24"/>
          <w:szCs w:val="24"/>
        </w:rPr>
        <w:t xml:space="preserve">In guided reading specifically, the </w:t>
      </w:r>
      <w:r w:rsidR="00867D32" w:rsidRPr="00867D32">
        <w:rPr>
          <w:sz w:val="24"/>
          <w:szCs w:val="24"/>
        </w:rPr>
        <w:t>teacher’s</w:t>
      </w:r>
      <w:r w:rsidRPr="00867D32">
        <w:rPr>
          <w:sz w:val="24"/>
          <w:szCs w:val="24"/>
        </w:rPr>
        <w:t xml:space="preserve"> role is concrete: choose a text with just enough challenge to be worth solving, prepare and give a short introduction that sets up the meaning and language students will encounter, watch closely for what strategies a student reaches for, confirm </w:t>
      </w:r>
      <w:r w:rsidR="00867D32" w:rsidRPr="00867D32">
        <w:rPr>
          <w:sz w:val="24"/>
          <w:szCs w:val="24"/>
        </w:rPr>
        <w:t>what’s</w:t>
      </w:r>
      <w:r w:rsidRPr="00867D32">
        <w:rPr>
          <w:sz w:val="24"/>
          <w:szCs w:val="24"/>
        </w:rPr>
        <w:t xml:space="preserve"> working, step in to help with problem-solving when needed, and talk with students about what they read afterward — inviting a real response, not just checking comprehension. Students, meanwhile, are expected to do more than sit and decode: raise questions, build expectations about where a story is going, check their own predictions, and sometimes extend what </w:t>
      </w:r>
      <w:r w:rsidR="00867D32" w:rsidRPr="00867D32">
        <w:rPr>
          <w:sz w:val="24"/>
          <w:szCs w:val="24"/>
        </w:rPr>
        <w:t>they’ve</w:t>
      </w:r>
      <w:r w:rsidRPr="00867D32">
        <w:rPr>
          <w:sz w:val="24"/>
          <w:szCs w:val="24"/>
        </w:rPr>
        <w:t xml:space="preserve"> read through writing, drama, or art.</w:t>
      </w:r>
    </w:p>
    <w:p w14:paraId="38DAA185" w14:textId="77777777" w:rsidR="00A61B7D" w:rsidRPr="00867D32" w:rsidRDefault="00000000">
      <w:pPr>
        <w:spacing w:after="180"/>
        <w:rPr>
          <w:sz w:val="24"/>
          <w:szCs w:val="24"/>
        </w:rPr>
      </w:pPr>
      <w:r w:rsidRPr="00867D32">
        <w:rPr>
          <w:sz w:val="24"/>
          <w:szCs w:val="24"/>
        </w:rPr>
        <w:t>A classroom set up to support this kind of reading tends to share a few physical features: materials organized for children to explore independently or in small groups, print on the walls that the children themselves helped create, a word wall students can actually use as a resource, furniture arranged for group work, and a classroom library stocked with literature at a real range of levels.</w:t>
      </w:r>
    </w:p>
    <w:p w14:paraId="36733C8A" w14:textId="77777777" w:rsidR="00A61B7D" w:rsidRPr="00867D32" w:rsidRDefault="00000000">
      <w:pPr>
        <w:pStyle w:val="Heading1"/>
        <w:spacing w:before="260" w:after="120"/>
        <w:rPr>
          <w:sz w:val="28"/>
          <w:szCs w:val="28"/>
        </w:rPr>
      </w:pPr>
      <w:r w:rsidRPr="00867D32">
        <w:rPr>
          <w:sz w:val="28"/>
          <w:szCs w:val="28"/>
        </w:rPr>
        <w:t>Strategies to Model During Reading Workshop</w:t>
      </w:r>
    </w:p>
    <w:p w14:paraId="7DE65012" w14:textId="239D5549" w:rsidR="00A61B7D" w:rsidRPr="00867D32" w:rsidRDefault="00000000">
      <w:pPr>
        <w:spacing w:after="180"/>
        <w:rPr>
          <w:sz w:val="24"/>
          <w:szCs w:val="24"/>
        </w:rPr>
      </w:pPr>
      <w:r w:rsidRPr="00867D32">
        <w:rPr>
          <w:sz w:val="24"/>
          <w:szCs w:val="24"/>
        </w:rPr>
        <w:t xml:space="preserve">Beyond the overall structure, </w:t>
      </w:r>
      <w:r w:rsidR="00867D32" w:rsidRPr="00867D32">
        <w:rPr>
          <w:sz w:val="24"/>
          <w:szCs w:val="24"/>
        </w:rPr>
        <w:t>there’s</w:t>
      </w:r>
      <w:r w:rsidRPr="00867D32">
        <w:rPr>
          <w:sz w:val="24"/>
          <w:szCs w:val="24"/>
        </w:rPr>
        <w:t xml:space="preserve"> a working list of specific comprehension strategies worth modeling explicitly and revisiting throughout a unit of study — not all at once, but as they become relevant to what students are reading:</w:t>
      </w:r>
    </w:p>
    <w:p w14:paraId="079ACFDC" w14:textId="77777777" w:rsidR="00A61B7D" w:rsidRPr="00867D32" w:rsidRDefault="00000000">
      <w:pPr>
        <w:pStyle w:val="ListParagraph"/>
        <w:numPr>
          <w:ilvl w:val="0"/>
          <w:numId w:val="2"/>
        </w:numPr>
        <w:spacing w:after="80"/>
        <w:rPr>
          <w:sz w:val="24"/>
          <w:szCs w:val="24"/>
        </w:rPr>
      </w:pPr>
      <w:r w:rsidRPr="00867D32">
        <w:rPr>
          <w:sz w:val="24"/>
          <w:szCs w:val="24"/>
        </w:rPr>
        <w:t>Making connections — text to self, text to text, text to the wider world</w:t>
      </w:r>
    </w:p>
    <w:p w14:paraId="5924CE36" w14:textId="4D6D0EDE" w:rsidR="00A61B7D" w:rsidRPr="00867D32" w:rsidRDefault="00000000">
      <w:pPr>
        <w:pStyle w:val="ListParagraph"/>
        <w:numPr>
          <w:ilvl w:val="0"/>
          <w:numId w:val="2"/>
        </w:numPr>
        <w:spacing w:after="80"/>
        <w:rPr>
          <w:sz w:val="24"/>
          <w:szCs w:val="24"/>
        </w:rPr>
      </w:pPr>
      <w:r w:rsidRPr="00867D32">
        <w:rPr>
          <w:sz w:val="24"/>
          <w:szCs w:val="24"/>
        </w:rPr>
        <w:t xml:space="preserve">Visualizing </w:t>
      </w:r>
      <w:r w:rsidR="00867D32" w:rsidRPr="00867D32">
        <w:rPr>
          <w:sz w:val="24"/>
          <w:szCs w:val="24"/>
        </w:rPr>
        <w:t>what’s</w:t>
      </w:r>
      <w:r w:rsidRPr="00867D32">
        <w:rPr>
          <w:sz w:val="24"/>
          <w:szCs w:val="24"/>
        </w:rPr>
        <w:t xml:space="preserve"> happening in the text</w:t>
      </w:r>
    </w:p>
    <w:p w14:paraId="7407DCA8" w14:textId="77777777" w:rsidR="00A61B7D" w:rsidRPr="00867D32" w:rsidRDefault="00000000">
      <w:pPr>
        <w:pStyle w:val="ListParagraph"/>
        <w:numPr>
          <w:ilvl w:val="0"/>
          <w:numId w:val="2"/>
        </w:numPr>
        <w:spacing w:after="80"/>
        <w:rPr>
          <w:sz w:val="24"/>
          <w:szCs w:val="24"/>
        </w:rPr>
      </w:pPr>
      <w:r w:rsidRPr="00867D32">
        <w:rPr>
          <w:sz w:val="24"/>
          <w:szCs w:val="24"/>
        </w:rPr>
        <w:t>Recognizing point of view</w:t>
      </w:r>
    </w:p>
    <w:p w14:paraId="6CA92093" w14:textId="77777777" w:rsidR="00A61B7D" w:rsidRPr="00867D32" w:rsidRDefault="00000000">
      <w:pPr>
        <w:pStyle w:val="ListParagraph"/>
        <w:numPr>
          <w:ilvl w:val="0"/>
          <w:numId w:val="2"/>
        </w:numPr>
        <w:spacing w:after="80"/>
        <w:rPr>
          <w:sz w:val="24"/>
          <w:szCs w:val="24"/>
        </w:rPr>
      </w:pPr>
      <w:r w:rsidRPr="00867D32">
        <w:rPr>
          <w:sz w:val="24"/>
          <w:szCs w:val="24"/>
        </w:rPr>
        <w:t>Identifying plot and inferring theme</w:t>
      </w:r>
    </w:p>
    <w:p w14:paraId="2F5397DF" w14:textId="0050B9C5" w:rsidR="00A61B7D" w:rsidRPr="00867D32" w:rsidRDefault="00000000">
      <w:pPr>
        <w:pStyle w:val="ListParagraph"/>
        <w:numPr>
          <w:ilvl w:val="0"/>
          <w:numId w:val="2"/>
        </w:numPr>
        <w:spacing w:after="80"/>
        <w:rPr>
          <w:sz w:val="24"/>
          <w:szCs w:val="24"/>
        </w:rPr>
      </w:pPr>
      <w:r w:rsidRPr="00867D32">
        <w:rPr>
          <w:sz w:val="24"/>
          <w:szCs w:val="24"/>
        </w:rPr>
        <w:t xml:space="preserve">Considering the </w:t>
      </w:r>
      <w:r w:rsidR="00867D32" w:rsidRPr="00867D32">
        <w:rPr>
          <w:sz w:val="24"/>
          <w:szCs w:val="24"/>
        </w:rPr>
        <w:t>author’s</w:t>
      </w:r>
      <w:r w:rsidRPr="00867D32">
        <w:rPr>
          <w:sz w:val="24"/>
          <w:szCs w:val="24"/>
        </w:rPr>
        <w:t xml:space="preserve"> purpose</w:t>
      </w:r>
    </w:p>
    <w:p w14:paraId="34F61237" w14:textId="77777777" w:rsidR="00A61B7D" w:rsidRPr="00867D32" w:rsidRDefault="00000000">
      <w:pPr>
        <w:pStyle w:val="ListParagraph"/>
        <w:numPr>
          <w:ilvl w:val="0"/>
          <w:numId w:val="2"/>
        </w:numPr>
        <w:spacing w:after="80"/>
        <w:rPr>
          <w:sz w:val="24"/>
          <w:szCs w:val="24"/>
        </w:rPr>
      </w:pPr>
      <w:r w:rsidRPr="00867D32">
        <w:rPr>
          <w:sz w:val="24"/>
          <w:szCs w:val="24"/>
        </w:rPr>
        <w:t>Locating supporting details</w:t>
      </w:r>
    </w:p>
    <w:p w14:paraId="5F259767" w14:textId="77777777" w:rsidR="00A61B7D" w:rsidRPr="00867D32" w:rsidRDefault="00000000">
      <w:pPr>
        <w:pStyle w:val="ListParagraph"/>
        <w:numPr>
          <w:ilvl w:val="0"/>
          <w:numId w:val="2"/>
        </w:numPr>
        <w:spacing w:after="80"/>
        <w:rPr>
          <w:sz w:val="24"/>
          <w:szCs w:val="24"/>
        </w:rPr>
      </w:pPr>
      <w:r w:rsidRPr="00867D32">
        <w:rPr>
          <w:sz w:val="24"/>
          <w:szCs w:val="24"/>
        </w:rPr>
        <w:t>Making inferences</w:t>
      </w:r>
    </w:p>
    <w:p w14:paraId="402E38F0" w14:textId="77777777" w:rsidR="00A61B7D" w:rsidRPr="00867D32" w:rsidRDefault="00000000">
      <w:pPr>
        <w:pStyle w:val="ListParagraph"/>
        <w:numPr>
          <w:ilvl w:val="0"/>
          <w:numId w:val="2"/>
        </w:numPr>
        <w:spacing w:after="80"/>
        <w:rPr>
          <w:sz w:val="24"/>
          <w:szCs w:val="24"/>
        </w:rPr>
      </w:pPr>
      <w:r w:rsidRPr="00867D32">
        <w:rPr>
          <w:sz w:val="24"/>
          <w:szCs w:val="24"/>
        </w:rPr>
        <w:t>Synthesizing information across a text</w:t>
      </w:r>
    </w:p>
    <w:p w14:paraId="484B25F4" w14:textId="77777777" w:rsidR="00A61B7D" w:rsidRPr="00867D32" w:rsidRDefault="00000000">
      <w:pPr>
        <w:pStyle w:val="ListParagraph"/>
        <w:numPr>
          <w:ilvl w:val="0"/>
          <w:numId w:val="2"/>
        </w:numPr>
        <w:spacing w:after="80"/>
        <w:rPr>
          <w:sz w:val="24"/>
          <w:szCs w:val="24"/>
        </w:rPr>
      </w:pPr>
      <w:r w:rsidRPr="00867D32">
        <w:rPr>
          <w:sz w:val="24"/>
          <w:szCs w:val="24"/>
        </w:rPr>
        <w:t>Applying prior knowledge</w:t>
      </w:r>
    </w:p>
    <w:p w14:paraId="05FBE885" w14:textId="77777777" w:rsidR="00A61B7D" w:rsidRPr="00867D32" w:rsidRDefault="00000000">
      <w:pPr>
        <w:pStyle w:val="ListParagraph"/>
        <w:numPr>
          <w:ilvl w:val="0"/>
          <w:numId w:val="2"/>
        </w:numPr>
        <w:spacing w:after="80"/>
        <w:rPr>
          <w:sz w:val="24"/>
          <w:szCs w:val="24"/>
        </w:rPr>
      </w:pPr>
      <w:r w:rsidRPr="00867D32">
        <w:rPr>
          <w:sz w:val="24"/>
          <w:szCs w:val="24"/>
        </w:rPr>
        <w:t>Sequencing events</w:t>
      </w:r>
    </w:p>
    <w:p w14:paraId="2C13F8DB" w14:textId="77777777" w:rsidR="00A61B7D" w:rsidRPr="00867D32" w:rsidRDefault="00000000">
      <w:pPr>
        <w:pStyle w:val="ListParagraph"/>
        <w:numPr>
          <w:ilvl w:val="0"/>
          <w:numId w:val="2"/>
        </w:numPr>
        <w:spacing w:after="80"/>
        <w:rPr>
          <w:sz w:val="24"/>
          <w:szCs w:val="24"/>
        </w:rPr>
      </w:pPr>
      <w:r w:rsidRPr="00867D32">
        <w:rPr>
          <w:sz w:val="24"/>
          <w:szCs w:val="24"/>
        </w:rPr>
        <w:t>Generating and categorizing questions</w:t>
      </w:r>
    </w:p>
    <w:p w14:paraId="153EA86D" w14:textId="77777777" w:rsidR="00A61B7D" w:rsidRPr="00867D32" w:rsidRDefault="00000000">
      <w:pPr>
        <w:pStyle w:val="ListParagraph"/>
        <w:numPr>
          <w:ilvl w:val="0"/>
          <w:numId w:val="2"/>
        </w:numPr>
        <w:spacing w:after="80"/>
        <w:rPr>
          <w:sz w:val="24"/>
          <w:szCs w:val="24"/>
        </w:rPr>
      </w:pPr>
      <w:r w:rsidRPr="00867D32">
        <w:rPr>
          <w:sz w:val="24"/>
          <w:szCs w:val="24"/>
        </w:rPr>
        <w:t>Retelling and summarizing</w:t>
      </w:r>
    </w:p>
    <w:p w14:paraId="1FD02049" w14:textId="77777777" w:rsidR="00A61B7D" w:rsidRPr="00867D32" w:rsidRDefault="00000000">
      <w:pPr>
        <w:pStyle w:val="ListParagraph"/>
        <w:numPr>
          <w:ilvl w:val="0"/>
          <w:numId w:val="2"/>
        </w:numPr>
        <w:spacing w:after="80"/>
        <w:rPr>
          <w:sz w:val="24"/>
          <w:szCs w:val="24"/>
        </w:rPr>
      </w:pPr>
      <w:r w:rsidRPr="00867D32">
        <w:rPr>
          <w:sz w:val="24"/>
          <w:szCs w:val="24"/>
        </w:rPr>
        <w:t>Drawing conclusions</w:t>
      </w:r>
    </w:p>
    <w:p w14:paraId="0E735D53" w14:textId="77777777" w:rsidR="00A61B7D" w:rsidRPr="00867D32" w:rsidRDefault="00000000">
      <w:pPr>
        <w:pStyle w:val="ListParagraph"/>
        <w:numPr>
          <w:ilvl w:val="0"/>
          <w:numId w:val="2"/>
        </w:numPr>
        <w:spacing w:after="80"/>
        <w:rPr>
          <w:sz w:val="24"/>
          <w:szCs w:val="24"/>
        </w:rPr>
      </w:pPr>
      <w:r w:rsidRPr="00867D32">
        <w:rPr>
          <w:sz w:val="24"/>
          <w:szCs w:val="24"/>
        </w:rPr>
        <w:t>Comparing and contrasting</w:t>
      </w:r>
    </w:p>
    <w:p w14:paraId="7ACFF398" w14:textId="77777777" w:rsidR="00A61B7D" w:rsidRPr="00867D32" w:rsidRDefault="00000000">
      <w:pPr>
        <w:pStyle w:val="ListParagraph"/>
        <w:numPr>
          <w:ilvl w:val="0"/>
          <w:numId w:val="2"/>
        </w:numPr>
        <w:spacing w:after="80"/>
        <w:rPr>
          <w:sz w:val="24"/>
          <w:szCs w:val="24"/>
        </w:rPr>
      </w:pPr>
      <w:r w:rsidRPr="00867D32">
        <w:rPr>
          <w:sz w:val="24"/>
          <w:szCs w:val="24"/>
        </w:rPr>
        <w:t>Distinguishing fact from opinion</w:t>
      </w:r>
    </w:p>
    <w:p w14:paraId="16C10223" w14:textId="77777777" w:rsidR="00A61B7D" w:rsidRPr="00867D32" w:rsidRDefault="00000000">
      <w:pPr>
        <w:pStyle w:val="ListParagraph"/>
        <w:numPr>
          <w:ilvl w:val="0"/>
          <w:numId w:val="2"/>
        </w:numPr>
        <w:spacing w:after="80"/>
        <w:rPr>
          <w:sz w:val="24"/>
          <w:szCs w:val="24"/>
        </w:rPr>
      </w:pPr>
      <w:r w:rsidRPr="00867D32">
        <w:rPr>
          <w:sz w:val="24"/>
          <w:szCs w:val="24"/>
        </w:rPr>
        <w:lastRenderedPageBreak/>
        <w:t>Identifying the main idea</w:t>
      </w:r>
    </w:p>
    <w:p w14:paraId="057BAC32" w14:textId="77777777" w:rsidR="00A61B7D" w:rsidRPr="00867D32" w:rsidRDefault="00000000">
      <w:pPr>
        <w:pStyle w:val="ListParagraph"/>
        <w:numPr>
          <w:ilvl w:val="0"/>
          <w:numId w:val="2"/>
        </w:numPr>
        <w:spacing w:after="80"/>
        <w:rPr>
          <w:sz w:val="24"/>
          <w:szCs w:val="24"/>
        </w:rPr>
      </w:pPr>
      <w:r w:rsidRPr="00867D32">
        <w:rPr>
          <w:sz w:val="24"/>
          <w:szCs w:val="24"/>
        </w:rPr>
        <w:t>Predicting outcomes</w:t>
      </w:r>
    </w:p>
    <w:p w14:paraId="7489A578" w14:textId="77777777" w:rsidR="00A61B7D" w:rsidRPr="00867D32" w:rsidRDefault="00000000">
      <w:pPr>
        <w:pStyle w:val="ListParagraph"/>
        <w:numPr>
          <w:ilvl w:val="0"/>
          <w:numId w:val="2"/>
        </w:numPr>
        <w:spacing w:after="80"/>
        <w:rPr>
          <w:sz w:val="24"/>
          <w:szCs w:val="24"/>
        </w:rPr>
      </w:pPr>
      <w:r w:rsidRPr="00867D32">
        <w:rPr>
          <w:sz w:val="24"/>
          <w:szCs w:val="24"/>
        </w:rPr>
        <w:t>Recognizing cause and effect</w:t>
      </w:r>
    </w:p>
    <w:p w14:paraId="5F9DEC58" w14:textId="77777777" w:rsidR="00A61B7D" w:rsidRPr="00867D32" w:rsidRDefault="00000000">
      <w:pPr>
        <w:pStyle w:val="ListParagraph"/>
        <w:numPr>
          <w:ilvl w:val="0"/>
          <w:numId w:val="2"/>
        </w:numPr>
        <w:spacing w:after="80"/>
        <w:rPr>
          <w:sz w:val="24"/>
          <w:szCs w:val="24"/>
        </w:rPr>
      </w:pPr>
      <w:r w:rsidRPr="00867D32">
        <w:rPr>
          <w:sz w:val="24"/>
          <w:szCs w:val="24"/>
        </w:rPr>
        <w:t>Reading and following directions, including in test-taking contexts</w:t>
      </w:r>
    </w:p>
    <w:p w14:paraId="4880E0A2" w14:textId="77777777" w:rsidR="00A61B7D" w:rsidRPr="00867D32" w:rsidRDefault="00000000">
      <w:pPr>
        <w:pStyle w:val="ListParagraph"/>
        <w:numPr>
          <w:ilvl w:val="0"/>
          <w:numId w:val="2"/>
        </w:numPr>
        <w:spacing w:after="80"/>
        <w:rPr>
          <w:sz w:val="24"/>
          <w:szCs w:val="24"/>
        </w:rPr>
      </w:pPr>
      <w:r w:rsidRPr="00867D32">
        <w:rPr>
          <w:sz w:val="24"/>
          <w:szCs w:val="24"/>
        </w:rPr>
        <w:t>Using illustrations and pictures as comprehension clues</w:t>
      </w:r>
    </w:p>
    <w:p w14:paraId="13367993" w14:textId="6A20CC2A" w:rsidR="00A61B7D" w:rsidRPr="00867D32" w:rsidRDefault="00000000">
      <w:pPr>
        <w:spacing w:after="180"/>
        <w:rPr>
          <w:sz w:val="24"/>
          <w:szCs w:val="24"/>
        </w:rPr>
      </w:pPr>
      <w:r w:rsidRPr="00867D32">
        <w:rPr>
          <w:sz w:val="24"/>
          <w:szCs w:val="24"/>
        </w:rPr>
        <w:t>None of these strategies do much on their own. A student who can identify cause and effect but has no real background knowledge to draw on will still struggle to make sense of an unfamiliar text; a classroom built around rich read-</w:t>
      </w:r>
      <w:r w:rsidR="00867D32" w:rsidRPr="00867D32">
        <w:rPr>
          <w:sz w:val="24"/>
          <w:szCs w:val="24"/>
        </w:rPr>
        <w:t>aloud</w:t>
      </w:r>
      <w:r w:rsidRPr="00867D32">
        <w:rPr>
          <w:sz w:val="24"/>
          <w:szCs w:val="24"/>
        </w:rPr>
        <w:t xml:space="preserve"> and guided reading groups will still leave gaps if a struggling reader </w:t>
      </w:r>
      <w:r w:rsidR="00867D32" w:rsidRPr="00867D32">
        <w:rPr>
          <w:sz w:val="24"/>
          <w:szCs w:val="24"/>
        </w:rPr>
        <w:t>isn’t</w:t>
      </w:r>
      <w:r w:rsidRPr="00867D32">
        <w:rPr>
          <w:sz w:val="24"/>
          <w:szCs w:val="24"/>
        </w:rPr>
        <w:t xml:space="preserve"> caught early. What moves students forward is the combination</w:t>
      </w:r>
      <w:r w:rsidR="00867D32" w:rsidRPr="00867D32">
        <w:rPr>
          <w:sz w:val="24"/>
          <w:szCs w:val="24"/>
        </w:rPr>
        <w:t>—</w:t>
      </w:r>
      <w:r w:rsidRPr="00867D32">
        <w:rPr>
          <w:sz w:val="24"/>
          <w:szCs w:val="24"/>
        </w:rPr>
        <w:t>a structure that gives every student real time with real texts, and a teacher who keeps modeling the specific thinking that turns decoding into actual understanding.</w:t>
      </w:r>
    </w:p>
    <w:p w14:paraId="2BE2C443" w14:textId="292CA1AE" w:rsidR="00A61B7D" w:rsidRPr="00867D32" w:rsidRDefault="00000000">
      <w:pPr>
        <w:spacing w:after="180"/>
        <w:rPr>
          <w:sz w:val="24"/>
          <w:szCs w:val="24"/>
        </w:rPr>
      </w:pPr>
      <w:r w:rsidRPr="00867D32">
        <w:rPr>
          <w:i/>
          <w:iCs/>
          <w:color w:val="595959"/>
          <w:sz w:val="24"/>
          <w:szCs w:val="24"/>
        </w:rPr>
        <w:t xml:space="preserve">The classroom framework described above draws on the Ohio State </w:t>
      </w:r>
      <w:r w:rsidR="00867D32" w:rsidRPr="00867D32">
        <w:rPr>
          <w:i/>
          <w:iCs/>
          <w:color w:val="595959"/>
          <w:sz w:val="24"/>
          <w:szCs w:val="24"/>
        </w:rPr>
        <w:t>University’s</w:t>
      </w:r>
      <w:r w:rsidRPr="00867D32">
        <w:rPr>
          <w:i/>
          <w:iCs/>
          <w:color w:val="595959"/>
          <w:sz w:val="24"/>
          <w:szCs w:val="24"/>
        </w:rPr>
        <w:t xml:space="preserve"> Early Literacy Learning Initiative. The discussion of </w:t>
      </w:r>
      <w:r w:rsidR="00867D32" w:rsidRPr="00867D32">
        <w:rPr>
          <w:i/>
          <w:iCs/>
          <w:color w:val="595959"/>
          <w:sz w:val="24"/>
          <w:szCs w:val="24"/>
        </w:rPr>
        <w:t>reading’s</w:t>
      </w:r>
      <w:r w:rsidRPr="00867D32">
        <w:rPr>
          <w:i/>
          <w:iCs/>
          <w:color w:val="595959"/>
          <w:sz w:val="24"/>
          <w:szCs w:val="24"/>
        </w:rPr>
        <w:t xml:space="preserve"> cognitive effects draws on Anne E. Cunningham and Keith E. Stanovich, </w:t>
      </w:r>
      <w:r w:rsidR="00867D32" w:rsidRPr="00867D32">
        <w:rPr>
          <w:i/>
          <w:iCs/>
          <w:color w:val="595959"/>
          <w:sz w:val="24"/>
          <w:szCs w:val="24"/>
        </w:rPr>
        <w:t>“</w:t>
      </w:r>
      <w:r w:rsidRPr="00867D32">
        <w:rPr>
          <w:i/>
          <w:iCs/>
          <w:color w:val="595959"/>
          <w:sz w:val="24"/>
          <w:szCs w:val="24"/>
        </w:rPr>
        <w:t>What Reading Does for the Mind,</w:t>
      </w:r>
      <w:r w:rsidR="00867D32" w:rsidRPr="00867D32">
        <w:rPr>
          <w:i/>
          <w:iCs/>
          <w:color w:val="595959"/>
          <w:sz w:val="24"/>
          <w:szCs w:val="24"/>
        </w:rPr>
        <w:t>”</w:t>
      </w:r>
      <w:r w:rsidRPr="00867D32">
        <w:rPr>
          <w:i/>
          <w:iCs/>
          <w:color w:val="595959"/>
          <w:sz w:val="24"/>
          <w:szCs w:val="24"/>
        </w:rPr>
        <w:t xml:space="preserve"> American Educator (1998), and </w:t>
      </w:r>
      <w:r w:rsidR="00867D32" w:rsidRPr="00867D32">
        <w:rPr>
          <w:i/>
          <w:iCs/>
          <w:color w:val="595959"/>
          <w:sz w:val="24"/>
          <w:szCs w:val="24"/>
        </w:rPr>
        <w:t>Stanovich’s</w:t>
      </w:r>
      <w:r w:rsidRPr="00867D32">
        <w:rPr>
          <w:i/>
          <w:iCs/>
          <w:color w:val="595959"/>
          <w:sz w:val="24"/>
          <w:szCs w:val="24"/>
        </w:rPr>
        <w:t xml:space="preserve"> earlier research on </w:t>
      </w:r>
      <w:r w:rsidR="00867D32" w:rsidRPr="00867D32">
        <w:rPr>
          <w:i/>
          <w:iCs/>
          <w:color w:val="595959"/>
          <w:sz w:val="24"/>
          <w:szCs w:val="24"/>
        </w:rPr>
        <w:t>“</w:t>
      </w:r>
      <w:r w:rsidRPr="00867D32">
        <w:rPr>
          <w:i/>
          <w:iCs/>
          <w:color w:val="595959"/>
          <w:sz w:val="24"/>
          <w:szCs w:val="24"/>
        </w:rPr>
        <w:t>Matthew effects</w:t>
      </w:r>
      <w:r w:rsidR="00867D32" w:rsidRPr="00867D32">
        <w:rPr>
          <w:i/>
          <w:iCs/>
          <w:color w:val="595959"/>
          <w:sz w:val="24"/>
          <w:szCs w:val="24"/>
        </w:rPr>
        <w:t>”</w:t>
      </w:r>
      <w:r w:rsidRPr="00867D32">
        <w:rPr>
          <w:i/>
          <w:iCs/>
          <w:color w:val="595959"/>
          <w:sz w:val="24"/>
          <w:szCs w:val="24"/>
        </w:rPr>
        <w:t xml:space="preserve"> in reading development.</w:t>
      </w:r>
    </w:p>
    <w:sectPr w:rsidR="00A61B7D" w:rsidRPr="00867D3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F2194"/>
    <w:multiLevelType w:val="hybridMultilevel"/>
    <w:tmpl w:val="AB881878"/>
    <w:lvl w:ilvl="0" w:tplc="26B435E4">
      <w:start w:val="1"/>
      <w:numFmt w:val="bullet"/>
      <w:lvlText w:val="•"/>
      <w:lvlJc w:val="left"/>
      <w:pPr>
        <w:ind w:left="720" w:hanging="360"/>
      </w:pPr>
    </w:lvl>
    <w:lvl w:ilvl="1" w:tplc="C2469ADA">
      <w:numFmt w:val="decimal"/>
      <w:lvlText w:val=""/>
      <w:lvlJc w:val="left"/>
    </w:lvl>
    <w:lvl w:ilvl="2" w:tplc="05C6F624">
      <w:numFmt w:val="decimal"/>
      <w:lvlText w:val=""/>
      <w:lvlJc w:val="left"/>
    </w:lvl>
    <w:lvl w:ilvl="3" w:tplc="5EA0A550">
      <w:numFmt w:val="decimal"/>
      <w:lvlText w:val=""/>
      <w:lvlJc w:val="left"/>
    </w:lvl>
    <w:lvl w:ilvl="4" w:tplc="9736774A">
      <w:numFmt w:val="decimal"/>
      <w:lvlText w:val=""/>
      <w:lvlJc w:val="left"/>
    </w:lvl>
    <w:lvl w:ilvl="5" w:tplc="BEB485D0">
      <w:numFmt w:val="decimal"/>
      <w:lvlText w:val=""/>
      <w:lvlJc w:val="left"/>
    </w:lvl>
    <w:lvl w:ilvl="6" w:tplc="DD9A0172">
      <w:numFmt w:val="decimal"/>
      <w:lvlText w:val=""/>
      <w:lvlJc w:val="left"/>
    </w:lvl>
    <w:lvl w:ilvl="7" w:tplc="C9D0CC40">
      <w:numFmt w:val="decimal"/>
      <w:lvlText w:val=""/>
      <w:lvlJc w:val="left"/>
    </w:lvl>
    <w:lvl w:ilvl="8" w:tplc="4076817A">
      <w:numFmt w:val="decimal"/>
      <w:lvlText w:val=""/>
      <w:lvlJc w:val="left"/>
    </w:lvl>
  </w:abstractNum>
  <w:abstractNum w:abstractNumId="1" w15:restartNumberingAfterBreak="0">
    <w:nsid w:val="496C75B9"/>
    <w:multiLevelType w:val="hybridMultilevel"/>
    <w:tmpl w:val="392A5B90"/>
    <w:lvl w:ilvl="0" w:tplc="18EA250E">
      <w:start w:val="1"/>
      <w:numFmt w:val="bullet"/>
      <w:lvlText w:val="●"/>
      <w:lvlJc w:val="left"/>
      <w:pPr>
        <w:ind w:left="720" w:hanging="360"/>
      </w:pPr>
    </w:lvl>
    <w:lvl w:ilvl="1" w:tplc="0C768CBE">
      <w:start w:val="1"/>
      <w:numFmt w:val="bullet"/>
      <w:lvlText w:val="○"/>
      <w:lvlJc w:val="left"/>
      <w:pPr>
        <w:ind w:left="1440" w:hanging="360"/>
      </w:pPr>
    </w:lvl>
    <w:lvl w:ilvl="2" w:tplc="CF78E306">
      <w:start w:val="1"/>
      <w:numFmt w:val="bullet"/>
      <w:lvlText w:val="■"/>
      <w:lvlJc w:val="left"/>
      <w:pPr>
        <w:ind w:left="2160" w:hanging="360"/>
      </w:pPr>
    </w:lvl>
    <w:lvl w:ilvl="3" w:tplc="FDD46086">
      <w:start w:val="1"/>
      <w:numFmt w:val="bullet"/>
      <w:lvlText w:val="●"/>
      <w:lvlJc w:val="left"/>
      <w:pPr>
        <w:ind w:left="2880" w:hanging="360"/>
      </w:pPr>
    </w:lvl>
    <w:lvl w:ilvl="4" w:tplc="7C7E4C32">
      <w:start w:val="1"/>
      <w:numFmt w:val="bullet"/>
      <w:lvlText w:val="○"/>
      <w:lvlJc w:val="left"/>
      <w:pPr>
        <w:ind w:left="3600" w:hanging="360"/>
      </w:pPr>
    </w:lvl>
    <w:lvl w:ilvl="5" w:tplc="7838570E">
      <w:start w:val="1"/>
      <w:numFmt w:val="bullet"/>
      <w:lvlText w:val="■"/>
      <w:lvlJc w:val="left"/>
      <w:pPr>
        <w:ind w:left="4320" w:hanging="360"/>
      </w:pPr>
    </w:lvl>
    <w:lvl w:ilvl="6" w:tplc="2780BD34">
      <w:start w:val="1"/>
      <w:numFmt w:val="bullet"/>
      <w:lvlText w:val="●"/>
      <w:lvlJc w:val="left"/>
      <w:pPr>
        <w:ind w:left="5040" w:hanging="360"/>
      </w:pPr>
    </w:lvl>
    <w:lvl w:ilvl="7" w:tplc="1B34FAAC">
      <w:start w:val="1"/>
      <w:numFmt w:val="bullet"/>
      <w:lvlText w:val="●"/>
      <w:lvlJc w:val="left"/>
      <w:pPr>
        <w:ind w:left="5760" w:hanging="360"/>
      </w:pPr>
    </w:lvl>
    <w:lvl w:ilvl="8" w:tplc="4202B894">
      <w:start w:val="1"/>
      <w:numFmt w:val="bullet"/>
      <w:lvlText w:val="●"/>
      <w:lvlJc w:val="left"/>
      <w:pPr>
        <w:ind w:left="6480" w:hanging="360"/>
      </w:pPr>
    </w:lvl>
  </w:abstractNum>
  <w:num w:numId="1" w16cid:durableId="2052147022">
    <w:abstractNumId w:val="1"/>
    <w:lvlOverride w:ilvl="0">
      <w:startOverride w:val="1"/>
    </w:lvlOverride>
  </w:num>
  <w:num w:numId="2" w16cid:durableId="19425617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0NjUztzC2sDA0tjBT0lEKTi0uzszPAykwrAUAkNNv7iwAAAA="/>
  </w:docVars>
  <w:rsids>
    <w:rsidRoot w:val="00A61B7D"/>
    <w:rsid w:val="007F140D"/>
    <w:rsid w:val="00841337"/>
    <w:rsid w:val="00867D32"/>
    <w:rsid w:val="00A61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40C2"/>
  <w15:docId w15:val="{636B642E-B871-49C7-AEC2-3D3AA32E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Robert Schreier</cp:lastModifiedBy>
  <cp:revision>2</cp:revision>
  <dcterms:created xsi:type="dcterms:W3CDTF">2026-08-11T15:34:00Z</dcterms:created>
  <dcterms:modified xsi:type="dcterms:W3CDTF">2026-08-11T15:34:00Z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ca3b3ac4-c073-4457-bb3a-63706dcffade</vt:lpwstr>
  </property>
</Properties>
</file>